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4" w:rsidRDefault="006C22A4" w:rsidP="006C22A4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3.2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6C22A4" w:rsidRPr="001A551B" w:rsidRDefault="006C22A4" w:rsidP="006C22A4">
      <w:pPr>
        <w:pStyle w:val="Tytu"/>
        <w:tabs>
          <w:tab w:val="left" w:pos="5387"/>
        </w:tabs>
        <w:spacing w:line="24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bookmarkEnd w:id="0"/>
    <w:p w:rsidR="0029154E" w:rsidRDefault="0029154E" w:rsidP="0029154E">
      <w:pPr>
        <w:pStyle w:val="Tytu"/>
        <w:spacing w:line="240" w:lineRule="auto"/>
        <w:rPr>
          <w:rFonts w:ascii="Calibri Light" w:hAnsi="Calibri Light" w:cs="Calibri Light"/>
          <w:b/>
          <w:bCs/>
          <w:sz w:val="24"/>
          <w:szCs w:val="22"/>
        </w:rPr>
      </w:pPr>
      <w:r>
        <w:rPr>
          <w:rFonts w:ascii="Calibri Light" w:hAnsi="Calibri Light" w:cs="Calibri Light"/>
          <w:b/>
          <w:bCs/>
          <w:sz w:val="24"/>
          <w:szCs w:val="22"/>
        </w:rPr>
        <w:t>OPIS PRZEDMIOTU ZAMÓWIENIA - ZESTAWIENIE PARAMETRÓW TECHNICZNYCH</w:t>
      </w:r>
    </w:p>
    <w:p w:rsidR="006C22A4" w:rsidRDefault="006C22A4" w:rsidP="006C22A4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bookmarkStart w:id="1" w:name="_GoBack"/>
      <w:bookmarkEnd w:id="1"/>
      <w:r w:rsidRPr="00442EBB">
        <w:rPr>
          <w:rFonts w:ascii="Calibri Light" w:hAnsi="Calibri Light" w:cs="Calibri Light"/>
          <w:b/>
          <w:bCs/>
          <w:szCs w:val="22"/>
        </w:rPr>
        <w:t xml:space="preserve">Część nr 2 – </w:t>
      </w:r>
      <w:r w:rsidRPr="00442EBB">
        <w:rPr>
          <w:rFonts w:ascii="Calibri Light" w:hAnsi="Calibri Light" w:cs="Calibri Light"/>
          <w:b/>
          <w:bCs/>
          <w:iCs/>
          <w:szCs w:val="22"/>
        </w:rPr>
        <w:t>Zestawy komputerowe: typ1 i typ2</w:t>
      </w:r>
    </w:p>
    <w:p w:rsidR="006C22A4" w:rsidRDefault="006C22A4" w:rsidP="006C22A4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6C22A4" w:rsidRDefault="006C22A4">
      <w:pPr>
        <w:pStyle w:val="Standard"/>
        <w:ind w:left="357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</w:p>
    <w:p w:rsidR="00EF2612" w:rsidRDefault="0038209B">
      <w:pPr>
        <w:pStyle w:val="Standard"/>
        <w:ind w:left="357"/>
        <w:jc w:val="center"/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ZESTAW KOMPUTEROWY – TYP 1 – 25 sztuk</w:t>
      </w:r>
    </w:p>
    <w:p w:rsidR="00EF2612" w:rsidRDefault="00EF2612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EF2612" w:rsidRDefault="00EF261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F2612" w:rsidRDefault="0038209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urządzenia (typ/producent): ...............................................................................................................</w:t>
      </w:r>
    </w:p>
    <w:p w:rsidR="00EF2612" w:rsidRDefault="00EF2612">
      <w:pPr>
        <w:pStyle w:val="Standard"/>
        <w:jc w:val="both"/>
        <w:rPr>
          <w:rFonts w:ascii="Arial" w:hAnsi="Arial" w:cs="Arial"/>
        </w:rPr>
      </w:pPr>
    </w:p>
    <w:tbl>
      <w:tblPr>
        <w:tblW w:w="9317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910"/>
        <w:gridCol w:w="2204"/>
        <w:gridCol w:w="2203"/>
      </w:tblGrid>
      <w:tr w:rsidR="00EF2612" w:rsidTr="006C22A4">
        <w:trPr>
          <w:cantSplit/>
          <w:trHeight w:val="584"/>
          <w:tblHeader/>
          <w:jc w:val="center"/>
        </w:trPr>
        <w:tc>
          <w:tcPr>
            <w:tcW w:w="491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Parametry progowe</w:t>
            </w:r>
          </w:p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(minimalne wymagania)</w:t>
            </w:r>
          </w:p>
        </w:tc>
        <w:tc>
          <w:tcPr>
            <w:tcW w:w="22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ODPOWIEDŻ WYMAGANA</w:t>
            </w:r>
          </w:p>
        </w:tc>
        <w:tc>
          <w:tcPr>
            <w:tcW w:w="22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2F2F2" w:themeFill="background1" w:themeFillShade="F2"/>
            <w:vAlign w:val="center"/>
          </w:tcPr>
          <w:p w:rsidR="00EF2612" w:rsidRDefault="0038209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ODPOWIEDŹ WYKONAWCY </w:t>
            </w: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produktu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monitora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w architekturze x86_64, 6-rdzeniowy, o bazowym taktowaniu nie mniejszym niż 3GHz, min. 9MB cache, ze zintegrowaną grafiką, TDP maks. 65W, , ze sprzętowym wsparciem wirtualizacji (VT-x lub AMD-V), osiągający w teście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CPU Mark dostępnym na stronie https://www.cpubenchmark.net/cpu_list.php wynik nie mniejszy niż 11895 punktów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RAM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1x8GB UDIMM DDR4 2666 MHz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Płyta główna i funkcje BIOS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Płyta główna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zaprojektowana i wyprodukowana na zlecenie producenta komputera, dedykowana dla danego urządzenia.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Sprzętowe wsparcie technologii wirtualizacji realizowane łącznie w procesorze, chipsecie płyty głównej oraz w BIOS systemu (możliwość włączenia/wyłączenia sprzętowego wsparcia wirtualizacji dla poszczególnych komponentów systemu).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kontroler SATA III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 złącza DDR4/UDIMM z obsługą do 32GB pamięci RAM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ustawienia portów USB w trybie „no BOOT”, czyli podczas startu komputer nie wykrywa urządzeń typu USB, natomiast po uruchomieniu systemu operacyjnego porty USB są aktywne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Kontrola czujnika otwarcia obudowy i funkcja zapisania incydentu otwarcia obudowy w BIOS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wyłączenia portów USB na przednim panelu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Możliwość, bez uruchamiania systemu operacyjnego z dysku twardego komputera lub innych podłączonych do niego urządzeń zewnętrznych odczytania z BIOS informacji o:</w:t>
            </w:r>
          </w:p>
          <w:p w:rsidR="00EF2612" w:rsidRDefault="0038209B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wersji BIOS,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seryjnym komputera wraz z datą jego wyprodukowania,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ilości i sposobu obłożenia slotów pamięciami RAM,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typie procesora wraz z informacją o ilości rdzeni, wielkości pamięci cache L2 i L3,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pojemności zainstalowanego dysku twardego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rodzajach napędów optycznych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 adresie zintegrowanej karty sieciowej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kontrolerze audio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Dysk twardy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dysku SSD M.2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Nie mniej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niż 256GB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odczytu i zapisu sekwencyjnego minimum 1200 MB/s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Napęd DVD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DVD-RW +/- RW 8x, SATA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Sprzętowy przycisk wysuwania nośnika optycznego na przedniej ścianie urządzenia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Graficzna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Grafika zintegrowana z procesorem powinna umożliwiać pracę z trzema monitorami, ze wsparciem DirectX 12,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4.5, pamięć współdzielona z pamięcią RAM, dynamicznie przydzielana do min. 4GB;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obsługująca rozdzielczości :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3840x2160 @ 60Hz (cyfrowo) 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2560x1600 @ 60Hz (cyfrowo) 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4096x2304 @ 60Hz (cyfrowo) 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1920x1080 @ 60Hz (analogowo i cyfrowo) </w:t>
            </w:r>
          </w:p>
          <w:p w:rsidR="00EF2612" w:rsidRDefault="0038209B">
            <w:pPr>
              <w:pStyle w:val="Standard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Performance Test co najmniej wynik 1200 punktów w G3D Rating, wynik dostępny na stronie: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>
              <w:bookmarkStart w:id="2" w:name="OLE_LINK3"/>
              <w:bookmarkStart w:id="3" w:name="OLE_LINK2"/>
              <w:bookmarkStart w:id="4" w:name="OLE_LINK1"/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http://www.videocardbenchmark.net/gpu_list.php</w:t>
              </w:r>
            </w:hyperlink>
            <w:bookmarkEnd w:id="2"/>
            <w:bookmarkEnd w:id="3"/>
            <w:bookmarkEnd w:id="4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Karta sieciowa 10/100/1000 Ethernet RJ 45, zintegrowana z płytą główną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protokołu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(funkcja włączana przez użytkownika),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Dźwiękowa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24-bitowa karta dźwiękowa zintegrowana z płytą główną, zgodna z High Definition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Porty słuchawek i mikrofonu na przednim oraz na tylnym panelu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Interfejsy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lastRenderedPageBreak/>
              <w:t>min. 2 x DisplayPort v1.2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1 x HDMI 1.4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uniwersalne gniazdo audio z przodu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1x wyjście audio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-out z tyłu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8 portów USB wyprowadzonych na zewnątrz komputera w tym min 4 porty USB 3.1; min. 4 porty z przodu obudowy w tym 2 porty USB 3.1 i 4 z tyłu w tym 2 porty USB 3.1, wymagana ilość i rozmieszczenie (na zewnątrz obudowy komputera) portów USB nie może być osiągnięta w wyniku stosowania konwerterów, przejściówek itp.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M.2 przeznaczone na dysk twardy 22x80mm (obsadzone dyskiem wg specyfikacji)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M.2 przeznaczone na kartę sieci bezprzewodowej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1x Half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Height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x16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1x Half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Height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x1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Obudowa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Małogabarytowa typu small form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factor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(SFF),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umożliwiająca pracę w pionie jak i w poziomie,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 obsługą kart PCI Express wyłącznie o niskim profilu, fabrycznie przystosowana do pracy w układzie pionowym i poziomym wyposażona w min. 2 kieszenie: 1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ODD typu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slim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1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2,5” wewnętrzne.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wymiarów (szer. x głęb. x wys.) nie większa niż 70 cm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Obudowa w jednostce centralnej otwierana bez konieczności użycia narzędzi (wyklucza się użycie standardowych wkrętów, śrub motylkowych)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Powinna posiadać czujnik otwarcia obudowy współpracujący z oprogramowaniem zarządzająco – diagnostycznym producenta  komputera. Wbudowany w obudowę czujnik otwarcia obudowy, nie może zajmować dostępnych na płycie slotów PCI.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lub kłódki (oczko w obudowie do założenia kłódki).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Zasilacz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Zasilacz o mocy max. 200W pracujący w sieci 230V 50/60Hz prądu zmiennego, o sprawności 85% (80 Plus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Bronze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), z aktywnym PFC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zestawie przewód zasilania C13, 230V, 2,5m, europejski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Klawiatura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USB w  układzie QWERTY, amerykańska/międzynarodowa,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numeryczna wyraźnie oddzielona od reszty przycisków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Mysz</w:t>
            </w:r>
          </w:p>
        </w:tc>
      </w:tr>
      <w:tr w:rsidR="00EF2612">
        <w:trPr>
          <w:cantSplit/>
          <w:trHeight w:val="317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optyczna USB z rolką,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249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Rozdzielczość min. 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Trzeci przycisk w pokrętle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Zainstalowany system operacyjny co najmniej Windows 10 Professional 64 bitowy w polskiej wersji językowej lub system równoważny.</w:t>
            </w:r>
          </w:p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Klucz licencyjny systemu musi być zapisany trwale w BIOS i umożliwiać jego instalację bez potrzeby ręcznego wpisywania klucza licencyjnego. </w:t>
            </w:r>
          </w:p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Zamawiający nie dopuszcza zaoferowania systemu operacyjnego pochodzącego z rynku wtórnego, reaktywowanego systemu. </w:t>
            </w:r>
          </w:p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>System równoważny musi spełniać następujące wymagania poprzez wbudowane mechanizmy, bez użycia dodatkowych aplikacji: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Dostępne dwa rodzaje graficznego interfejsu użytkownika: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Klasyczny, umożliwiający obsługę przy pomocy klawiatury i myszy,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Dotykowy umożliwiający sterowanie dotykiem na urządzeniach typu tablet lub monitorach dotykowych.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Interfejsy użytkownika dostępne w wielu językach do wyboru – w tym polskim i angielskim.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Wbudowany system pomocy w języku polskim.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Graficzne środowisko instalacji i konfiguracji dostępne w języku polskim.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Funkcje związane z obsługą komputerów typu tablet, z wbudowanym modułem „uczenia się” pisma użytkownika – obsługa języka polskiego.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rozpoznawania mowy, pozwalającą na sterowanie komputerem głosowo, wraz z modułem „uczenia się” głosu użytkownika.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</w:t>
            </w:r>
            <w:r>
              <w:rPr>
                <w:rFonts w:ascii="Arial" w:hAnsi="Arial"/>
                <w:sz w:val="18"/>
                <w:szCs w:val="18"/>
              </w:rPr>
              <w:br/>
              <w:t>z poprawek są potrzebne.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Dostępność bezpłatnych biuletynów bezpieczeństwa związanych </w:t>
            </w:r>
            <w:r>
              <w:rPr>
                <w:rFonts w:ascii="Arial" w:hAnsi="Arial"/>
                <w:sz w:val="18"/>
                <w:szCs w:val="18"/>
              </w:rPr>
              <w:br/>
              <w:t>z działaniem systemu operacyjnego.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Plug&amp;Play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Wi-Fi).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automatycznej zmiany domyślnej drukarki w zależności od sieci, do której podłączony jest komputer.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Rozbudowane, definiowalne polityki bezpieczeństwa – polityki dla systemu operacyjnego i dla wskazanych aplikacji.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 pozwalający użytkownikowi zarejestrowanego w systemie przedsiębiorstwa/instytucji urządzenia na uprawniony dostęp do zasobów tego systemu.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Zintegrowany z systemem operacyjnym moduł synchronizacji komputera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z urządzeniami zewnętrznymi. 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Obsługa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standardu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NFC (near field communication).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Automatyczne występowanie i używanie (wystawianie) certyfikatów PKI X.509.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logowania do domeny w oparciu o: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Login i hasło,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Karty z certyfikatami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smartcard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),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Wirtualne karty (logowanie w oparciu o certyfikat chroniony poprzez moduł TPM).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wieloelementowego uwierzytelniania.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uwierzytelniania na bazie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Kerberos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v. 5.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do uwierzytelnienia urządzenia na bazie certyfikatu.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algorytmów Suite B (RFC 4869).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wbudowanej zapory ogniowej dla Internet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Exchange v. 2 (IKEv2) dla warstwy transportowej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IPsec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narzędzia służące do administracji, do wykonywania kopii zapasowych polityk i ich odtwarzania oraz generowania raportów </w:t>
            </w:r>
            <w:r>
              <w:rPr>
                <w:rFonts w:ascii="Arial" w:hAnsi="Arial"/>
                <w:sz w:val="18"/>
                <w:szCs w:val="18"/>
              </w:rPr>
              <w:br/>
              <w:t>z ustawień polityk.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JScript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VBScript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możliwość uruchamiania interpretera poleceń.</w:t>
            </w:r>
          </w:p>
          <w:p w:rsidR="00EF2612" w:rsidRDefault="00EF2612">
            <w:pPr>
              <w:spacing w:line="36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Zdalna pomoc i współdzielenie aplikacji – możliwość zdalnego przejęcia sesji zalogowanego użytkownika celem rozwiązania problemu </w:t>
            </w:r>
            <w:r>
              <w:rPr>
                <w:rFonts w:ascii="Arial" w:hAnsi="Arial"/>
                <w:sz w:val="18"/>
                <w:szCs w:val="18"/>
              </w:rPr>
              <w:br/>
              <w:t>z komputerem,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Rozwiązanie służące do automatycznego zbudowania obrazu systemu wraz z aplikacjami. Obraz systemu służyć ma do automatycznego upowszechnienia systemu operacyjnego inicjowanego i wykonywanego </w:t>
            </w:r>
            <w:r>
              <w:rPr>
                <w:rFonts w:ascii="Arial" w:hAnsi="Arial"/>
                <w:sz w:val="18"/>
                <w:szCs w:val="18"/>
              </w:rPr>
              <w:br/>
              <w:t>w całości poprzez sieć komputerową.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Rozwiązanie umożliwiające wdrożenie nowego obrazu poprzez zdalną instalację.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quota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Udostępnianie modemu.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przywracania obrazu plików systemowych do uprzednio zapisanej postaci.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Wbudowany mechanizm wirtualizacji typu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hypervisor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umożliwiający, zgodnie z uprawnieniami licencyjnymi, uruchomienie do 4 maszyn wirtualnych.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Mechanizm szyfrowania dysków wewnętrznych i zewnętrznych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szyfrowania ograniczonego do danych użytkownika.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mikrochipie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TPM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Trusted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Platform Module) w wersji minimum 2.0 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w system narzędzie do szyfrowania dysków przenośnych,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centralnego zarządzania poprzez polityki grupowe, pozwalające na wymuszenie szyfrowania dysków przenośnych.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tworzenia i przechowywania kopii zapasowych kluczy odzyskiwania do szyfrowania partycji w usługach katalogowych.</w:t>
            </w:r>
          </w:p>
          <w:p w:rsidR="00EF2612" w:rsidRDefault="0038209B">
            <w:pPr>
              <w:spacing w:after="15"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reinstalacji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systemu.</w:t>
            </w:r>
          </w:p>
        </w:tc>
        <w:tc>
          <w:tcPr>
            <w:tcW w:w="22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Certyfikacja komputera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normą CE – PN-EN 41003:2012 lub równoważną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certyfikat dostępny na stronie https://tcocertified.com/product-finder/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5" w:name="__DdeLink__10283_550405327"/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  <w:bookmarkEnd w:id="5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Głośność jednostki centralnej mierzona zgodnie z normą ISO 7779 oraz wykazana zgodnie z normą ISO 9296 w pozycji obserwatora w trybie pracy dysku twardego (IDLE) wynosząca maksymalnie 22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(dołączyć do oferty oświadczenie producenta)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D9D9D9" w:themeFill="background1" w:themeFillShade="D9"/>
            <w:vAlign w:val="center"/>
          </w:tcPr>
          <w:p w:rsidR="00EF2612" w:rsidRDefault="0038209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Monitor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wyświetlanego obrazu nie mniejsza niż 60,45 cm (23,8 cala)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Współczynnik proporcji 16:9,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Częstotliwości odświeżania minimum 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przy Rozdzielczości 1920 x 1080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IPS z podświetleniem LED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matrycy max. 8 ms (od szarego do szarego)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minimum 250 cd/m2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1000:1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plamki max. 0.275 mm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odświeżania min. 60Hz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porty przynajmniej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1x DisplayPort (ver. 1.2);  1x VGA; 1x port HDMI 1.4; </w:t>
            </w:r>
            <w:bookmarkStart w:id="6" w:name="OLE_LINK7"/>
            <w:bookmarkStart w:id="7" w:name="OLE_LINK6"/>
            <w:r>
              <w:rPr>
                <w:rFonts w:ascii="Arial" w:hAnsi="Arial" w:cs="Arial"/>
                <w:sz w:val="18"/>
                <w:szCs w:val="18"/>
                <w:lang w:val="en-US"/>
              </w:rPr>
              <w:t>USB 3.0</w:t>
            </w:r>
            <w:bookmarkEnd w:id="6"/>
            <w:bookmarkEnd w:id="7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</w:rPr>
              <w:t>wysyłania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danych; 2 porty USB 3.0 z boku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Kąty widzenia nie mniejsze niż 178° w pionie i 178° w poziomie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regulacji pod względem wysokości i pochylenia, obrotowa podstawa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z sieci 230V AC, 50Hz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podczas pracy 30 W (standardowo); 45 W (maksymalnie)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w trybie gotowości i uśpienia: poniżej 0,5 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zestawie: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- 1x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przewód zasilający, europejski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DP-DP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USB 3.0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ilość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sub-pixeli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sub-pixele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zablokowane w pozycji włączonej: 2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sub-pixele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zablokowane w pozycji wyłączonej: 5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większej ilości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-pikseli monitor podlega darmowej wymianie na gwarancji na egzemplarz wolny od takiej wady.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Gwarancja i serwis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Gwarancja obejmuje wszystkie części zestawu komputerowego przez okres 36 miesięcy od daty dostarczenia do Zamawiającego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serwisu – do końca następnego dnia roboczego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serwisująca musi posiadać ISO 9001:2000 lub równoważne na świadczenie usług serwisowych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ma prawo oddać komputer do naprawy gwarancyjnej bez dysku twardego. W przypadku awarii dysku twardego Zamawiającemu przysługuje prawo do otrzymania nowego dysku bez konieczności jego wymiany po stwierdzeniu jego awarii wskazanym przez producenta programem diagnostycznym.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Serwis urządzeń musi być realizowany przez Producenta lub Autoryzowanego Partnera Serwisowego Producenta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Inne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Telefoniczna infolinia/linia techniczna producenta komputera, dostępna w czasie obowiązywania gwarancji na sprzęt i umożliwiająca po podaniu numeru seryjnego urządzenia: weryfikację konfiguracji fabrycznej wraz z wersją fabrycznie dostarczonego oprogramowania (system operacyjny, szczegółowa konfiguracja sprzętowa – CPU, HDD, RAM), czasu obowiązywania i typ udzielonej gwarancji.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należy dostarczyć do siedziby Zamawiającego, w formie skompletowanej i skonfigurowanej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2612" w:rsidRDefault="00EF26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EF2612" w:rsidRDefault="00EF26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EF2612" w:rsidRDefault="0038209B">
      <w:pPr>
        <w:pStyle w:val="Standard"/>
        <w:ind w:left="357"/>
        <w:jc w:val="center"/>
        <w:rPr>
          <w:rFonts w:ascii="Arial" w:hAnsi="Arial" w:cs="Arial"/>
          <w:bCs/>
          <w:i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ZESTAW KOMPUTEROWY – TYP 2 – 15 sztuk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br/>
      </w:r>
      <w:r>
        <w:rPr>
          <w:rFonts w:ascii="Arial" w:hAnsi="Arial" w:cs="Arial"/>
          <w:bCs/>
          <w:iCs/>
          <w:sz w:val="22"/>
          <w:szCs w:val="22"/>
          <w:lang w:eastAsia="ar-SA"/>
        </w:rPr>
        <w:t>(typ 1 z 2xRS232)</w:t>
      </w:r>
    </w:p>
    <w:p w:rsidR="00EF2612" w:rsidRDefault="00EF2612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EF2612" w:rsidRDefault="00EF261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F2612" w:rsidRDefault="0038209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urządzenia (typ/producent): ...............................................................................................................</w:t>
      </w:r>
    </w:p>
    <w:p w:rsidR="00EF2612" w:rsidRDefault="00EF2612">
      <w:pPr>
        <w:pStyle w:val="Standard"/>
        <w:jc w:val="both"/>
        <w:rPr>
          <w:rFonts w:ascii="Arial" w:hAnsi="Arial" w:cs="Arial"/>
        </w:rPr>
      </w:pPr>
    </w:p>
    <w:tbl>
      <w:tblPr>
        <w:tblW w:w="9317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910"/>
        <w:gridCol w:w="2204"/>
        <w:gridCol w:w="2203"/>
      </w:tblGrid>
      <w:tr w:rsidR="00EF2612" w:rsidTr="006C22A4">
        <w:trPr>
          <w:cantSplit/>
          <w:trHeight w:val="584"/>
          <w:tblHeader/>
          <w:jc w:val="center"/>
        </w:trPr>
        <w:tc>
          <w:tcPr>
            <w:tcW w:w="491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Parametry progowe</w:t>
            </w:r>
          </w:p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(minimalne wymagania)</w:t>
            </w:r>
          </w:p>
        </w:tc>
        <w:tc>
          <w:tcPr>
            <w:tcW w:w="22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ODPOWIEDŻ WYMAGANA</w:t>
            </w:r>
          </w:p>
        </w:tc>
        <w:tc>
          <w:tcPr>
            <w:tcW w:w="22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2F2F2" w:themeFill="background1" w:themeFillShade="F2"/>
            <w:vAlign w:val="center"/>
          </w:tcPr>
          <w:p w:rsidR="00EF2612" w:rsidRDefault="0038209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ODPOWIEDŹ WYKONAWCY </w:t>
            </w: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produktu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monitora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Procesor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w architekturze x86_64, 6-rdzeniowy, o bazowym taktowaniu nie mniejszym niż 3GHz, min. 9MB cache, ze zintegrowaną grafiką, TDP maks. 65W, , ze sprzętowym wsparciem wirtualizacji (VT-x lub AMD-V), osiągający w teście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CPU Mark dostępnym na stronie https://www.cpubenchmark.net/cpu_list.php wynik nie mniejszy niż 11895 punktów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TAK, Podać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RAM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1x8GB UDIMM DDR4 2666 MHz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Płyta główna i funkcje BIOS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Płyta główna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zaprojektowana i wyprodukowana na zlecenie producenta komputera, dedykowana dla danego urządzenia.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Sprzętowe wsparcie technologii wirtualizacji realizowane łącznie w procesorze, chipsecie płyty głównej oraz w BIOS systemu (możliwość włączenia/wyłączenia sprzętowego wsparcia wirtualizacji dla poszczególnych komponentów systemu).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kontroler SATA III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 złącza DDR4/UDIMM z obsługą do 32GB pamięci RAM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ustawienia portów USB w trybie „no BOOT”, czyli podczas startu komputer nie wykrywa urządzeń typu USB, natomiast po uruchomieniu systemu operacyjnego porty USB są aktywne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Kontrola czujnika otwarcia obudowy i funkcja zapisania incydentu otwarcia obudowy w BIOS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 wyłączenia portów USB na przednim panelu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Możliwość, bez uruchamiania systemu operacyjnego z dysku twardego komputera lub innych podłączonych do niego urządzeń zewnętrznych odczytania z BIOS informacji o:</w:t>
            </w:r>
          </w:p>
          <w:p w:rsidR="00EF2612" w:rsidRDefault="0038209B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wersji BIOS,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seryjnym komputera wraz z datą jego wyprodukowania,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ilości i sposobu obłożenia slotów pamięciami RAM,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typie procesora wraz z informacją o ilości rdzeni, wielkości pamięci cache L2 i L3,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pojemności zainstalowanego dysku twardego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rodzajach napędów optycznych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 adresie zintegrowanej karty sieciowej</w:t>
            </w:r>
          </w:p>
          <w:p w:rsidR="00EF2612" w:rsidRDefault="0038209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kontrolerze audio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Dysk twardy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dysku SSD M.2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Nie mniej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niż 256GB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Prędkość odczytu i zapisu sekwencyjnego minimum 1200 MB/s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Napęd DVD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DVD-RW +/- RW 8x, SATA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Sprzętowy przycisk wysuwania nośnika optycznego na przedniej ścianie urządzenia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Karta Graficzna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Grafika zintegrowana z procesorem powinna umożliwiać pracę z trzema monitorami, ze wsparciem DirectX 12,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4.5, pamięć współdzielona z pamięcią RAM, dynamicznie przydzielana do min. 4GB;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obsługująca rozdzielczości :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3840x2160 @ 60Hz (cyfrowo) 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2560x1600 @ 60Hz (cyfrowo) 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4096x2304 @ 60Hz (cyfrowo) </w:t>
            </w:r>
          </w:p>
          <w:p w:rsidR="00EF2612" w:rsidRDefault="0038209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1920x1080 @ 60Hz (analogowo i cyfrowo) </w:t>
            </w:r>
          </w:p>
          <w:p w:rsidR="00EF2612" w:rsidRDefault="0038209B">
            <w:pPr>
              <w:pStyle w:val="Standard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Performance Test co najmniej wynik 1200 punktów w G3D Rating, wynik dostępny na stronie: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http://www.videocardbenchmark.net/gpu_list.php</w:t>
              </w:r>
            </w:hyperlink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Sieciowa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Karta sieciowa 10/100/1000 Ethernet RJ 45, zintegrowana z płytą główną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protokołu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(funkcja włączana przez użytkownika),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Karta Dźwiękowa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Min. 24-bitowa karta dźwiękowa zintegrowana z płytą główną, zgodna z High Definition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Porty słuchawek i mikrofonu na przednim oraz na tylnym panelu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Interfejsy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2 x DisplayPort v1.2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min. 1 x HDMI 1.4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uniwersalne gniazdo audio z przodu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1x wyjście audio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-out z tyłu obudowy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min. 8 portów USB wyprowadzonych na zewnątrz komputera w tym min 4 porty USB 3.1; min. 4 porty z przodu obudowy w tym 2 porty USB 3.1 i 4 z tyłu w tym 2 porty USB 3.1, wymagana ilość i rozmieszczenie (na zewnątrz obudowy komputera) portów USB nie może być osiągnięta w wyniku stosowania konwerterów, przejściówek itp.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M.2 przeznaczone na dysk twardy 22x80mm (obsadzone dyskiem wg specyfikacji)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1x M.2 przeznaczone na kartę sieci bezprzewodowej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1x Half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Height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x16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1x Half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Height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x1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2x RS232 wyprowadzone na zewnątrz, z tyłu obudowy</w:t>
            </w:r>
          </w:p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dopuszczalne jest zastosowanie karty rozszerzeń w slocie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x1</w:t>
            </w:r>
          </w:p>
          <w:p w:rsidR="00EF2612" w:rsidRDefault="0038209B">
            <w:pPr>
              <w:pStyle w:val="Standard"/>
              <w:tabs>
                <w:tab w:val="center" w:pos="2514"/>
              </w:tabs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sterowniki do obsługi portów muszą być automatycznie instalowane przez zainstalowany system operacyjny lub należy dołączyć do zestawu nośnik ze sterownikami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Obudowa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Małogabarytowa typu small form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factor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(SFF),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umożliwiająca pracę w pionie jak i w poziomie,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 obsługą kart PCI Express wyłącznie o niskim profilu, fabrycznie przystosowana do pracy w układzie pionowym i poziomym wyposażona w min. 2 kieszenie: 1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ODD typu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slim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1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2,5” wewnętrzne.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wymiarów (szer. x głęb. x wys.) nie większa niż 70 cm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Obudowa w jednostce centralnej otwierana bez konieczności użycia narzędzi (wyklucza się użycie standardowych wkrętów, śrub motylkowych)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Powinna posiadać czujnik otwarcia obudowy współpracujący z oprogramowaniem zarządzająco – diagnostycznym producenta  komputera. Wbudowany w obudowę czujnik otwarcia obudowy, nie może zajmować dostępnych na płycie slotów PCI.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lub kłódki (oczko w obudowie do założenia kłódki).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Zasilacz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Zasilacz o mocy max. 200W pracujący w sieci 230V 50/60Hz prądu zmiennego, o sprawności 85% (80 Plus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Bronze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), z aktywnym PFC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zestawie przewód zasilania C13, 230V, 2,5m, europejski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Klawiatura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USB w  układzie QWERTY, amerykańska/międzynarodowa,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Klawiatura numeryczna wyraźnie oddzielona od reszty przycisków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Mysz</w:t>
            </w:r>
          </w:p>
        </w:tc>
      </w:tr>
      <w:tr w:rsidR="00EF2612">
        <w:trPr>
          <w:cantSplit/>
          <w:trHeight w:val="317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 optyczna USB z rolką, w kolorze czarnym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249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Rozdzielczość min. 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Trzeci przycisk w pokrętle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System operacyjny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Zainstalowany system operacyjny co najmniej Windows 10 Professional 64 bitowy w polskiej wersji językowej lub system równoważny.</w:t>
            </w:r>
          </w:p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Klucz licencyjny systemu musi być zapisany trwale w BIOS i umożliwiać jego instalację bez potrzeby ręcznego wpisywania klucza licencyjnego. </w:t>
            </w:r>
          </w:p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Zamawiający nie dopuszcza zaoferowania systemu operacyjnego pochodzącego z rynku wtórnego, reaktywowanego systemu. </w:t>
            </w:r>
          </w:p>
          <w:p w:rsidR="00EF2612" w:rsidRDefault="0038209B">
            <w:pPr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>System równoważny musi spełniać następujące wymagania poprzez wbudowane mechanizmy, bez użycia dodatkowych aplikacji: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Dostępne dwa rodzaje graficznego interfejsu użytkownika: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Klasyczny, umożliwiający obsługę przy pomocy klawiatury i myszy,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825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Dotykowy umożliwiający sterowanie dotykiem na urządzeniach typu tablet lub monitorach dotykowych.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Interfejsy użytkownika dostępne w wielu językach do wyboru – w tym polskim i angielskim.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Wbudowany system pomocy w języku polskim.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Graficzne środowisko instalacji i konfiguracji dostępne w języku polskim.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Funkcje związane z obsługą komputerów typu tablet, z wbudowanym modułem „uczenia się” pisma użytkownika – obsługa języka polskiego.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rozpoznawania mowy, pozwalającą na sterowanie komputerem głosowo, wraz z modułem „uczenia się” głosu użytkownika.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</w:t>
            </w:r>
            <w:r>
              <w:rPr>
                <w:rFonts w:ascii="Arial" w:hAnsi="Arial"/>
                <w:sz w:val="18"/>
                <w:szCs w:val="18"/>
              </w:rPr>
              <w:br/>
              <w:t>z poprawek są potrzebne.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Dostępność bezpłatnych biuletynów bezpieczeństwa związanych </w:t>
            </w:r>
            <w:r>
              <w:rPr>
                <w:rFonts w:ascii="Arial" w:hAnsi="Arial"/>
                <w:sz w:val="18"/>
                <w:szCs w:val="18"/>
              </w:rPr>
              <w:br/>
              <w:t>z działaniem systemu operacyjnego.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Plug&amp;Play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Wi-Fi).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Funkcjonalność automatycznej zmiany domyślnej drukarki w zależności od sieci, do której podłączony jest komputer.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Rozbudowane, definiowalne polityki bezpieczeństwa – polityki dla systemu operacyjnego i dla wskazanych aplikacji.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 pozwalający użytkownikowi zarejestrowanego w systemie przedsiębiorstwa/instytucji urządzenia na uprawniony dostęp do zasobów tego systemu.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Zintegrowany z systemem operacyjnym moduł synchronizacji komputera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z urządzeniami zewnętrznymi. 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Obsługa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standardu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NFC (near field communication).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Możliwość przystosowania stanowiska dla osób niepełnosprawnych (np. słabo widzących). 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Automatyczne występowanie i używanie (wystawianie) certyfikatów PKI X.509.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logowania do domeny w oparciu o: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Login i hasło,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Karty z certyfikatami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smartcard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),</w:t>
            </w:r>
          </w:p>
          <w:p w:rsidR="00EF2612" w:rsidRDefault="0038209B">
            <w:pPr>
              <w:numPr>
                <w:ilvl w:val="1"/>
                <w:numId w:val="4"/>
              </w:numPr>
              <w:spacing w:line="360" w:lineRule="auto"/>
              <w:ind w:left="683" w:hanging="284"/>
              <w:contextualSpacing/>
            </w:pPr>
            <w:r>
              <w:rPr>
                <w:rFonts w:ascii="Arial" w:hAnsi="Arial"/>
                <w:sz w:val="18"/>
                <w:szCs w:val="18"/>
              </w:rPr>
              <w:t>Wirtualne karty (logowanie w oparciu o certyfikat chroniony poprzez moduł TPM).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Mechanizmy wieloelementowego uwierzytelniania.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uwierzytelniania na bazie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Kerberos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v. 5.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do uwierzytelnienia urządzenia na bazie certyfikatu.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algorytmów Suite B (RFC 4869).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wbudowanej zapory ogniowej dla Internet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Exchange v. 2 (IKEv2) dla warstwy transportowej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IPsec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narzędzia służące do administracji, do wykonywania kopii zapasowych polityk i ich odtwarzania oraz generowania raportów </w:t>
            </w:r>
            <w:r>
              <w:rPr>
                <w:rFonts w:ascii="Arial" w:hAnsi="Arial"/>
                <w:sz w:val="18"/>
                <w:szCs w:val="18"/>
              </w:rPr>
              <w:br/>
              <w:t>z ustawień polityk.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Wsparcie dla środowisk Java i .NET Framework 4.x – możliwość uruchomienia aplikacji działających we wskazanych środowiskach.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Wsparcie dla JScript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VBScript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możliwość uruchamiania interpretera poleceń.</w:t>
            </w:r>
          </w:p>
          <w:p w:rsidR="00EF2612" w:rsidRDefault="00EF2612">
            <w:pPr>
              <w:spacing w:line="36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Zdalna pomoc i współdzielenie aplikacji – możliwość zdalnego przejęcia sesji zalogowanego użytkownika celem rozwiązania problemu </w:t>
            </w:r>
            <w:r>
              <w:rPr>
                <w:rFonts w:ascii="Arial" w:hAnsi="Arial"/>
                <w:sz w:val="18"/>
                <w:szCs w:val="18"/>
              </w:rPr>
              <w:br/>
              <w:t>z komputerem,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Rozwiązanie służące do automatycznego zbudowania obrazu systemu wraz z aplikacjami. Obraz systemu służyć ma do automatycznego upowszechnienia systemu operacyjnego inicjowanego i wykonywanego </w:t>
            </w:r>
            <w:r>
              <w:rPr>
                <w:rFonts w:ascii="Arial" w:hAnsi="Arial"/>
                <w:sz w:val="18"/>
                <w:szCs w:val="18"/>
              </w:rPr>
              <w:br/>
              <w:t>w całości poprzez sieć komputerową.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Rozwiązanie umożliwiające wdrożenie nowego obrazu poprzez zdalną instalację.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quota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Zarządzanie kontami użytkowników sieci oraz urządzeniami sieciowymi tj. drukarki, modemy, woluminy dyskowe, usługi katalogowe.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Udostępnianie modemu.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przywracania obrazu plików systemowych do uprzednio zapisanej postaci.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Wbudowany mechanizm wirtualizacji typu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hypervisor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umożliwiający, zgodnie z uprawnieniami licencyjnymi, uruchomienie do 4 maszyn wirtualnych.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Mechanizm szyfrowania dysków wewnętrznych i zewnętrznych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szyfrowania ograniczonego do danych użytkownika.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mikrochipie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TPM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Trusted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Platform Module) w wersji minimum 2.0 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 xml:space="preserve">Wbudowane w system narzędzie do szyfrowania dysków przenośnych, </w:t>
            </w:r>
            <w:r>
              <w:rPr>
                <w:rFonts w:ascii="Arial" w:hAnsi="Arial"/>
                <w:sz w:val="18"/>
                <w:szCs w:val="18"/>
              </w:rPr>
              <w:br/>
              <w:t>z możliwością centralnego zarządzania poprzez polityki grupowe, pozwalające na wymuszenie szyfrowania dysków przenośnych.</w:t>
            </w:r>
          </w:p>
          <w:p w:rsidR="00EF2612" w:rsidRDefault="0038209B">
            <w:pPr>
              <w:numPr>
                <w:ilvl w:val="0"/>
                <w:numId w:val="4"/>
              </w:numPr>
              <w:spacing w:line="360" w:lineRule="auto"/>
              <w:ind w:left="399" w:hanging="360"/>
              <w:contextualSpacing/>
            </w:pPr>
            <w:r>
              <w:rPr>
                <w:rFonts w:ascii="Arial" w:hAnsi="Arial"/>
                <w:sz w:val="18"/>
                <w:szCs w:val="18"/>
              </w:rPr>
              <w:t>Możliwość tworzenia i przechowywania kopii zapasowych kluczy odzyskiwania do szyfrowania partycji w usługach katalogowych.</w:t>
            </w:r>
          </w:p>
          <w:p w:rsidR="00EF2612" w:rsidRDefault="0038209B">
            <w:pPr>
              <w:spacing w:after="15"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reinstalacji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systemu.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Certyfikacja komputera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Zgodność z normą CE – PN-EN 41003:2012 lub równoważną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certyfikat dostępny na stronie https://tcocertified.com/product-finder/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D9D9D9" w:themeFill="background1" w:themeFillShade="D9"/>
            <w:vAlign w:val="center"/>
          </w:tcPr>
          <w:p w:rsidR="00EF2612" w:rsidRDefault="0038209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Monitor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wyświetlanego obrazu nie mniejsza niż 60,45 cm (23,8 cala)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Współczynnik proporcji 16:9,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Częstotliwości odświeżania minimum 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przy Rozdzielczości 1920 x 1080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IPS z podświetleniem LED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matrycy max. 8 ms (od szarego do szarego)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minimum 250 cd/m2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1000:1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plamki max. 0.275 mm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odświeżania min. 60Hz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porty przynajmniej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1x DisplayPort (ver. 1.2);  1x VGA; 1x port HDMI 1.4; USB 3.0 do </w:t>
            </w:r>
            <w:r>
              <w:rPr>
                <w:rFonts w:ascii="Arial" w:hAnsi="Arial" w:cs="Arial"/>
                <w:sz w:val="18"/>
                <w:szCs w:val="18"/>
              </w:rPr>
              <w:t>wysyłania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danych; 2 porty USB 3.0 z boku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Kąty widzenia nie mniejsze niż 178° w pionie i 178° w poziomie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regulacji pod względem wysokości i pochylenia, obrotowa podstawa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z sieci 230V AC, 50Hz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podczas pracy 30 W (standardowo); 45 W (maksymalnie)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Pobór mocy w trybie gotowości i uśpienia: poniżej 0,5 W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zestawie: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- 1x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przewód zasilający, europejski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DP-DP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- 1x kabel USB 3.0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ilość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sub-pixeli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sub-pixele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zablokowane w pozycji włączonej: 2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sub-pixele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zablokowane w pozycji wyłączonej: 5</w:t>
            </w:r>
          </w:p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większej ilości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-pikseli monitor podlega darmowej wymianie na gwarancji na egzemplarz wolny od takiej wady.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Gwarancja i serwis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Gwarancja obejmuje wszystkie części zestawu komputerowego przez okres 36 miesięcy od daty dostarczenia do Zamawiającego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serwisu – do końca następnego dnia roboczego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serwisująca musi posiadać ISO 9001:2000 lub równoważne na świadczenie usług serwisowych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Zamawiający ma prawo oddać komputer do naprawy gwarancyjnej bez dysku twardego. W przypadku awarii dysku twardego Zamawiającemu przysługuje prawo do otrzymania nowego dysku bez konieczności jego wymiany po stwierdzeniu jego awarii wskazanym przez producenta programem diagnostycznym.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Serwis urządzeń musi być realizowany przez Producenta lub Autoryzowanego Partnera Serwisowego Producenta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93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Inne</w:t>
            </w: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Telefoniczna infolinia/linia techniczna producenta komputera, dostępna w czasie obowiązywania gwarancji na sprzęt i umożliwiająca po podaniu numeru seryjnego urządzenia: weryfikację konfiguracji fabrycznej wraz z wersją fabrycznie dostarczonego oprogramowania (system operacyjny, szczegółowa konfiguracja sprzętowa – CPU, HDD, RAM), czasu obowiązywania i typ udzielonej gwarancji.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612">
        <w:trPr>
          <w:cantSplit/>
          <w:trHeight w:val="340"/>
          <w:jc w:val="center"/>
        </w:trPr>
        <w:tc>
          <w:tcPr>
            <w:tcW w:w="4910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</w:tcPr>
          <w:p w:rsidR="00EF2612" w:rsidRDefault="003820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należy dostarczyć do siedziby Zamawiającego, w formie skompletowanej i skonfigurowanej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F2612" w:rsidRDefault="0038209B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TAK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vAlign w:val="center"/>
          </w:tcPr>
          <w:p w:rsidR="00EF2612" w:rsidRDefault="00EF261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2612" w:rsidRDefault="00EF26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EF2612" w:rsidRDefault="00EF26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EF2612" w:rsidRDefault="00EF26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EF2612" w:rsidRDefault="0038209B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</w:t>
      </w:r>
    </w:p>
    <w:p w:rsidR="00EF2612" w:rsidRDefault="0038209B">
      <w:pPr>
        <w:pStyle w:val="Standard"/>
        <w:numPr>
          <w:ilvl w:val="0"/>
          <w:numId w:val="4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 xml:space="preserve">, to Wykonawca jest zobowiązany do potwierdzenia jej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;</w:t>
      </w:r>
    </w:p>
    <w:p w:rsidR="00EF2612" w:rsidRDefault="0038209B">
      <w:pPr>
        <w:pStyle w:val="Standard"/>
        <w:numPr>
          <w:ilvl w:val="0"/>
          <w:numId w:val="2"/>
        </w:numPr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w przypadku, gdy w rubryce </w:t>
      </w:r>
      <w:r>
        <w:rPr>
          <w:rFonts w:ascii="Arial" w:hAnsi="Arial" w:cs="Arial"/>
          <w:i/>
          <w:sz w:val="18"/>
          <w:szCs w:val="18"/>
        </w:rPr>
        <w:t>„ODPOWIEDŹ WYMAGANA”</w:t>
      </w:r>
      <w:r>
        <w:rPr>
          <w:rFonts w:ascii="Arial" w:hAnsi="Arial" w:cs="Arial"/>
          <w:sz w:val="18"/>
          <w:szCs w:val="18"/>
        </w:rPr>
        <w:t xml:space="preserve"> wymagana jest odpowiedź </w:t>
      </w:r>
      <w:r>
        <w:rPr>
          <w:rFonts w:ascii="Arial" w:hAnsi="Arial" w:cs="Arial"/>
          <w:i/>
          <w:sz w:val="18"/>
          <w:szCs w:val="18"/>
        </w:rPr>
        <w:t>PODAĆ</w:t>
      </w:r>
      <w:r>
        <w:rPr>
          <w:rFonts w:ascii="Arial" w:hAnsi="Arial" w:cs="Arial"/>
          <w:sz w:val="18"/>
          <w:szCs w:val="18"/>
        </w:rPr>
        <w:t xml:space="preserve"> to Wykonawca jest zobowiązany do opisania / podania wartości parametru w rubryce </w:t>
      </w:r>
      <w:r>
        <w:rPr>
          <w:rFonts w:ascii="Arial" w:hAnsi="Arial" w:cs="Arial"/>
          <w:i/>
          <w:sz w:val="18"/>
          <w:szCs w:val="18"/>
        </w:rPr>
        <w:t>„ODPOWIEDŹ WYKONAWCY”</w:t>
      </w:r>
      <w:r>
        <w:rPr>
          <w:rFonts w:ascii="Arial" w:hAnsi="Arial" w:cs="Arial"/>
          <w:sz w:val="18"/>
          <w:szCs w:val="18"/>
        </w:rPr>
        <w:t>.</w:t>
      </w:r>
    </w:p>
    <w:p w:rsidR="00EF2612" w:rsidRDefault="00EF2612"/>
    <w:p w:rsidR="006C22A4" w:rsidRDefault="006C22A4"/>
    <w:p w:rsidR="006C22A4" w:rsidRPr="00A86A29" w:rsidRDefault="006C22A4" w:rsidP="006C22A4">
      <w:pPr>
        <w:spacing w:before="120" w:after="120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6C22A4" w:rsidRPr="007866E7" w:rsidRDefault="006C22A4" w:rsidP="006C22A4">
      <w:pPr>
        <w:ind w:left="4536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6C22A4" w:rsidRPr="007866E7" w:rsidRDefault="006C22A4" w:rsidP="006C22A4">
      <w:pPr>
        <w:pStyle w:val="Tekstpodstawowy"/>
        <w:spacing w:after="0" w:line="240" w:lineRule="auto"/>
        <w:ind w:left="4536"/>
        <w:jc w:val="center"/>
        <w:rPr>
          <w:rFonts w:ascii="Calibri Light" w:hAnsi="Calibri Light" w:cs="Calibri Light"/>
          <w:bCs/>
          <w:i/>
          <w:iCs/>
        </w:rPr>
      </w:pPr>
      <w:r w:rsidRPr="007866E7">
        <w:rPr>
          <w:rFonts w:ascii="Calibri Light" w:hAnsi="Calibri Light" w:cs="Calibri Light"/>
          <w:bCs/>
          <w:i/>
        </w:rPr>
        <w:t>(podpis  osoby/ osób uprawnionych</w:t>
      </w:r>
    </w:p>
    <w:p w:rsidR="006C22A4" w:rsidRPr="007866E7" w:rsidRDefault="006C22A4" w:rsidP="006C22A4">
      <w:pPr>
        <w:pStyle w:val="Tekstpodstawowy"/>
        <w:spacing w:after="0" w:line="240" w:lineRule="auto"/>
        <w:ind w:left="4536"/>
        <w:jc w:val="center"/>
        <w:rPr>
          <w:rFonts w:ascii="Calibri Light" w:hAnsi="Calibri Light" w:cs="Calibri Light"/>
          <w:b/>
          <w:bCs/>
          <w:i/>
          <w:lang w:eastAsia="x-none"/>
        </w:rPr>
      </w:pPr>
      <w:r w:rsidRPr="007866E7">
        <w:rPr>
          <w:rFonts w:ascii="Calibri Light" w:hAnsi="Calibri Light" w:cs="Calibri Light"/>
          <w:bCs/>
          <w:i/>
          <w:iCs/>
        </w:rPr>
        <w:t>do występowania w imieniu Wykonawcy)</w:t>
      </w:r>
    </w:p>
    <w:p w:rsidR="006C22A4" w:rsidRDefault="006C22A4" w:rsidP="006C22A4"/>
    <w:p w:rsidR="006C22A4" w:rsidRDefault="006C22A4"/>
    <w:sectPr w:rsidR="006C22A4" w:rsidSect="006C22A4">
      <w:headerReference w:type="default" r:id="rId10"/>
      <w:footerReference w:type="default" r:id="rId11"/>
      <w:pgSz w:w="11906" w:h="16838"/>
      <w:pgMar w:top="1976" w:right="1417" w:bottom="1417" w:left="1417" w:header="1417" w:footer="99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A7" w:rsidRDefault="005941A7">
      <w:r>
        <w:separator/>
      </w:r>
    </w:p>
  </w:endnote>
  <w:endnote w:type="continuationSeparator" w:id="0">
    <w:p w:rsidR="005941A7" w:rsidRDefault="0059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43836280"/>
      <w:docPartObj>
        <w:docPartGallery w:val="Page Numbers (Bottom of Page)"/>
        <w:docPartUnique/>
      </w:docPartObj>
    </w:sdtPr>
    <w:sdtEndPr/>
    <w:sdtContent>
      <w:p w:rsidR="006C22A4" w:rsidRPr="006C22A4" w:rsidRDefault="006C22A4" w:rsidP="006C22A4">
        <w:pPr>
          <w:pStyle w:val="Stopka"/>
          <w:jc w:val="right"/>
          <w:rPr>
            <w:rFonts w:asciiTheme="minorHAnsi" w:hAnsiTheme="minorHAnsi"/>
            <w:sz w:val="20"/>
          </w:rPr>
        </w:pPr>
        <w:r w:rsidRPr="006C22A4">
          <w:rPr>
            <w:rFonts w:asciiTheme="minorHAnsi" w:hAnsiTheme="minorHAnsi"/>
            <w:sz w:val="20"/>
          </w:rPr>
          <w:fldChar w:fldCharType="begin"/>
        </w:r>
        <w:r w:rsidRPr="006C22A4">
          <w:rPr>
            <w:rFonts w:asciiTheme="minorHAnsi" w:hAnsiTheme="minorHAnsi"/>
            <w:sz w:val="20"/>
          </w:rPr>
          <w:instrText>PAGE   \* MERGEFORMAT</w:instrText>
        </w:r>
        <w:r w:rsidRPr="006C22A4">
          <w:rPr>
            <w:rFonts w:asciiTheme="minorHAnsi" w:hAnsiTheme="minorHAnsi"/>
            <w:sz w:val="20"/>
          </w:rPr>
          <w:fldChar w:fldCharType="separate"/>
        </w:r>
        <w:r w:rsidR="0029154E">
          <w:rPr>
            <w:rFonts w:asciiTheme="minorHAnsi" w:hAnsiTheme="minorHAnsi"/>
            <w:noProof/>
            <w:sz w:val="20"/>
          </w:rPr>
          <w:t>15</w:t>
        </w:r>
        <w:r w:rsidRPr="006C22A4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A7" w:rsidRDefault="005941A7">
      <w:r>
        <w:separator/>
      </w:r>
    </w:p>
  </w:footnote>
  <w:footnote w:type="continuationSeparator" w:id="0">
    <w:p w:rsidR="005941A7" w:rsidRDefault="0059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A4" w:rsidRPr="00E72331" w:rsidRDefault="006C22A4" w:rsidP="006C22A4">
    <w:pPr>
      <w:pStyle w:val="Nagwek"/>
    </w:pPr>
    <w:r w:rsidRPr="007866E7">
      <w:rPr>
        <w:rFonts w:ascii="Calibri Light" w:hAnsi="Calibri Light" w:cs="Arial"/>
        <w:sz w:val="20"/>
        <w:szCs w:val="20"/>
      </w:rPr>
      <w:t xml:space="preserve">znak sprawy: </w:t>
    </w:r>
    <w:r w:rsidRPr="007866E7">
      <w:rPr>
        <w:rFonts w:ascii="Calibri Light" w:hAnsi="Calibri Light" w:cs="Arial"/>
        <w:b/>
        <w:sz w:val="20"/>
        <w:szCs w:val="20"/>
      </w:rPr>
      <w:t>UCKWUM.262.051.2020</w:t>
    </w:r>
  </w:p>
  <w:p w:rsidR="00EF2612" w:rsidRPr="006C22A4" w:rsidRDefault="00EF2612" w:rsidP="006C2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DFC"/>
    <w:multiLevelType w:val="multilevel"/>
    <w:tmpl w:val="FB78F12A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1">
    <w:nsid w:val="2C6977EA"/>
    <w:multiLevelType w:val="multilevel"/>
    <w:tmpl w:val="545835D0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2">
    <w:nsid w:val="3CC352B6"/>
    <w:multiLevelType w:val="multilevel"/>
    <w:tmpl w:val="C922933A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  <w:sz w:val="18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  <w:sz w:val="18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  <w:sz w:val="18"/>
      </w:rPr>
    </w:lvl>
  </w:abstractNum>
  <w:abstractNum w:abstractNumId="3">
    <w:nsid w:val="4E846A72"/>
    <w:multiLevelType w:val="multilevel"/>
    <w:tmpl w:val="DD1C2352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4">
    <w:nsid w:val="7618359B"/>
    <w:multiLevelType w:val="multilevel"/>
    <w:tmpl w:val="68D42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12"/>
    <w:rsid w:val="0029154E"/>
    <w:rsid w:val="0038209B"/>
    <w:rsid w:val="005941A7"/>
    <w:rsid w:val="006C22A4"/>
    <w:rsid w:val="00E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8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258C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ascii="Arial" w:hAnsi="Arial"/>
      <w:b/>
      <w:sz w:val="18"/>
    </w:rPr>
  </w:style>
  <w:style w:type="character" w:customStyle="1" w:styleId="ListLabel11">
    <w:name w:val="ListLabel 11"/>
    <w:qFormat/>
    <w:rPr>
      <w:sz w:val="18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character" w:customStyle="1" w:styleId="ListLabel20">
    <w:name w:val="ListLabel 20"/>
    <w:qFormat/>
    <w:rPr>
      <w:rFonts w:ascii="Arial" w:hAnsi="Arial" w:cs="Wingdings"/>
      <w:b/>
      <w:sz w:val="18"/>
    </w:rPr>
  </w:style>
  <w:style w:type="character" w:customStyle="1" w:styleId="ListLabel21">
    <w:name w:val="ListLabel 21"/>
    <w:qFormat/>
    <w:rPr>
      <w:rFonts w:cs="Courier New"/>
      <w:sz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sz w:val="18"/>
    </w:rPr>
  </w:style>
  <w:style w:type="character" w:customStyle="1" w:styleId="ListLabel25">
    <w:name w:val="ListLabel 25"/>
    <w:qFormat/>
    <w:rPr>
      <w:rFonts w:cs="Wingdings"/>
      <w:sz w:val="1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Wingdings"/>
      <w:b/>
      <w:sz w:val="18"/>
    </w:rPr>
  </w:style>
  <w:style w:type="character" w:customStyle="1" w:styleId="ListLabel39">
    <w:name w:val="ListLabel 39"/>
    <w:qFormat/>
    <w:rPr>
      <w:rFonts w:cs="Courier New"/>
      <w:sz w:val="18"/>
    </w:rPr>
  </w:style>
  <w:style w:type="character" w:customStyle="1" w:styleId="ListLabel40">
    <w:name w:val="ListLabel 40"/>
    <w:qFormat/>
    <w:rPr>
      <w:rFonts w:cs="Wingdings"/>
      <w:sz w:val="18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  <w:rPr>
      <w:rFonts w:ascii="Arial" w:hAnsi="Arial" w:cs="Wingdings"/>
      <w:b/>
      <w:sz w:val="18"/>
    </w:rPr>
  </w:style>
  <w:style w:type="character" w:customStyle="1" w:styleId="ListLabel58">
    <w:name w:val="ListLabel 58"/>
    <w:qFormat/>
    <w:rPr>
      <w:rFonts w:cs="Courier New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  <w:sz w:val="18"/>
    </w:rPr>
  </w:style>
  <w:style w:type="character" w:customStyle="1" w:styleId="ListLabel62">
    <w:name w:val="ListLabel 62"/>
    <w:qFormat/>
    <w:rPr>
      <w:rFonts w:cs="Wingdings"/>
      <w:sz w:val="18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  <w:sz w:val="18"/>
    </w:rPr>
  </w:style>
  <w:style w:type="character" w:customStyle="1" w:styleId="ListLabel65">
    <w:name w:val="ListLabel 65"/>
    <w:qFormat/>
    <w:rPr>
      <w:rFonts w:cs="Wingdings"/>
      <w:sz w:val="18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Wingdings"/>
      <w:b/>
      <w:sz w:val="18"/>
    </w:rPr>
  </w:style>
  <w:style w:type="character" w:customStyle="1" w:styleId="ListLabel76">
    <w:name w:val="ListLabel 76"/>
    <w:qFormat/>
    <w:rPr>
      <w:rFonts w:cs="Courier New"/>
      <w:sz w:val="18"/>
    </w:rPr>
  </w:style>
  <w:style w:type="character" w:customStyle="1" w:styleId="ListLabel77">
    <w:name w:val="ListLabel 77"/>
    <w:qFormat/>
    <w:rPr>
      <w:rFonts w:cs="Wingdings"/>
      <w:sz w:val="18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  <w:sz w:val="18"/>
    </w:rPr>
  </w:style>
  <w:style w:type="character" w:customStyle="1" w:styleId="ListLabel80">
    <w:name w:val="ListLabel 80"/>
    <w:qFormat/>
    <w:rPr>
      <w:rFonts w:cs="Wingdings"/>
      <w:sz w:val="18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  <w:sz w:val="18"/>
    </w:rPr>
  </w:style>
  <w:style w:type="character" w:customStyle="1" w:styleId="ListLabel83">
    <w:name w:val="ListLabel 83"/>
    <w:qFormat/>
    <w:rPr>
      <w:rFonts w:cs="Wingdings"/>
      <w:sz w:val="18"/>
    </w:rPr>
  </w:style>
  <w:style w:type="character" w:customStyle="1" w:styleId="ListLabel84">
    <w:name w:val="ListLabel 84"/>
    <w:qFormat/>
    <w:rPr>
      <w:rFonts w:ascii="Arial" w:hAnsi="Arial" w:cs="Symbol"/>
      <w:sz w:val="18"/>
    </w:rPr>
  </w:style>
  <w:style w:type="character" w:customStyle="1" w:styleId="ListLabel85">
    <w:name w:val="ListLabel 85"/>
    <w:qFormat/>
    <w:rPr>
      <w:rFonts w:ascii="Arial" w:hAnsi="Arial" w:cs="Courier New"/>
      <w:sz w:val="18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2258C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spacing w:after="15"/>
      <w:ind w:left="720" w:right="38" w:hanging="5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0">
    <w:name w:val="WW8Num20"/>
    <w:qFormat/>
    <w:rsid w:val="00E2258C"/>
  </w:style>
  <w:style w:type="numbering" w:customStyle="1" w:styleId="WW8Num18">
    <w:name w:val="WW8Num18"/>
    <w:qFormat/>
    <w:rsid w:val="00E2258C"/>
  </w:style>
  <w:style w:type="paragraph" w:styleId="Stopka">
    <w:name w:val="footer"/>
    <w:basedOn w:val="Normalny"/>
    <w:link w:val="StopkaZnak"/>
    <w:uiPriority w:val="99"/>
    <w:unhideWhenUsed/>
    <w:rsid w:val="006C2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2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6C22A4"/>
    <w:pPr>
      <w:widowControl w:val="0"/>
      <w:adjustRightInd w:val="0"/>
      <w:spacing w:line="360" w:lineRule="atLeast"/>
      <w:jc w:val="center"/>
      <w:textAlignment w:val="baseline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C22A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8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258C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ascii="Arial" w:hAnsi="Arial"/>
      <w:b/>
      <w:sz w:val="18"/>
    </w:rPr>
  </w:style>
  <w:style w:type="character" w:customStyle="1" w:styleId="ListLabel11">
    <w:name w:val="ListLabel 11"/>
    <w:qFormat/>
    <w:rPr>
      <w:sz w:val="18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sz w:val="18"/>
    </w:rPr>
  </w:style>
  <w:style w:type="character" w:customStyle="1" w:styleId="ListLabel18">
    <w:name w:val="ListLabel 18"/>
    <w:qFormat/>
    <w:rPr>
      <w:sz w:val="18"/>
    </w:rPr>
  </w:style>
  <w:style w:type="character" w:customStyle="1" w:styleId="ListLabel19">
    <w:name w:val="ListLabel 19"/>
    <w:qFormat/>
    <w:rPr>
      <w:rFonts w:ascii="Arial" w:hAnsi="Arial" w:cs="Arial"/>
      <w:sz w:val="18"/>
      <w:szCs w:val="18"/>
    </w:rPr>
  </w:style>
  <w:style w:type="character" w:customStyle="1" w:styleId="ListLabel20">
    <w:name w:val="ListLabel 20"/>
    <w:qFormat/>
    <w:rPr>
      <w:rFonts w:ascii="Arial" w:hAnsi="Arial" w:cs="Wingdings"/>
      <w:b/>
      <w:sz w:val="18"/>
    </w:rPr>
  </w:style>
  <w:style w:type="character" w:customStyle="1" w:styleId="ListLabel21">
    <w:name w:val="ListLabel 21"/>
    <w:qFormat/>
    <w:rPr>
      <w:rFonts w:cs="Courier New"/>
      <w:sz w:val="18"/>
    </w:rPr>
  </w:style>
  <w:style w:type="character" w:customStyle="1" w:styleId="ListLabel22">
    <w:name w:val="ListLabel 22"/>
    <w:qFormat/>
    <w:rPr>
      <w:rFonts w:cs="Wingdings"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sz w:val="18"/>
    </w:rPr>
  </w:style>
  <w:style w:type="character" w:customStyle="1" w:styleId="ListLabel25">
    <w:name w:val="ListLabel 25"/>
    <w:qFormat/>
    <w:rPr>
      <w:rFonts w:cs="Wingdings"/>
      <w:sz w:val="1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Wingdings"/>
      <w:b/>
      <w:sz w:val="18"/>
    </w:rPr>
  </w:style>
  <w:style w:type="character" w:customStyle="1" w:styleId="ListLabel39">
    <w:name w:val="ListLabel 39"/>
    <w:qFormat/>
    <w:rPr>
      <w:rFonts w:cs="Courier New"/>
      <w:sz w:val="18"/>
    </w:rPr>
  </w:style>
  <w:style w:type="character" w:customStyle="1" w:styleId="ListLabel40">
    <w:name w:val="ListLabel 40"/>
    <w:qFormat/>
    <w:rPr>
      <w:rFonts w:cs="Wingdings"/>
      <w:sz w:val="18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  <w:rPr>
      <w:rFonts w:ascii="Arial" w:hAnsi="Arial" w:cs="Wingdings"/>
      <w:b/>
      <w:sz w:val="18"/>
    </w:rPr>
  </w:style>
  <w:style w:type="character" w:customStyle="1" w:styleId="ListLabel58">
    <w:name w:val="ListLabel 58"/>
    <w:qFormat/>
    <w:rPr>
      <w:rFonts w:cs="Courier New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  <w:sz w:val="18"/>
    </w:rPr>
  </w:style>
  <w:style w:type="character" w:customStyle="1" w:styleId="ListLabel62">
    <w:name w:val="ListLabel 62"/>
    <w:qFormat/>
    <w:rPr>
      <w:rFonts w:cs="Wingdings"/>
      <w:sz w:val="18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  <w:sz w:val="18"/>
    </w:rPr>
  </w:style>
  <w:style w:type="character" w:customStyle="1" w:styleId="ListLabel65">
    <w:name w:val="ListLabel 65"/>
    <w:qFormat/>
    <w:rPr>
      <w:rFonts w:cs="Wingdings"/>
      <w:sz w:val="18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Wingdings"/>
      <w:b/>
      <w:sz w:val="18"/>
    </w:rPr>
  </w:style>
  <w:style w:type="character" w:customStyle="1" w:styleId="ListLabel76">
    <w:name w:val="ListLabel 76"/>
    <w:qFormat/>
    <w:rPr>
      <w:rFonts w:cs="Courier New"/>
      <w:sz w:val="18"/>
    </w:rPr>
  </w:style>
  <w:style w:type="character" w:customStyle="1" w:styleId="ListLabel77">
    <w:name w:val="ListLabel 77"/>
    <w:qFormat/>
    <w:rPr>
      <w:rFonts w:cs="Wingdings"/>
      <w:sz w:val="18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  <w:sz w:val="18"/>
    </w:rPr>
  </w:style>
  <w:style w:type="character" w:customStyle="1" w:styleId="ListLabel80">
    <w:name w:val="ListLabel 80"/>
    <w:qFormat/>
    <w:rPr>
      <w:rFonts w:cs="Wingdings"/>
      <w:sz w:val="18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  <w:sz w:val="18"/>
    </w:rPr>
  </w:style>
  <w:style w:type="character" w:customStyle="1" w:styleId="ListLabel83">
    <w:name w:val="ListLabel 83"/>
    <w:qFormat/>
    <w:rPr>
      <w:rFonts w:cs="Wingdings"/>
      <w:sz w:val="18"/>
    </w:rPr>
  </w:style>
  <w:style w:type="character" w:customStyle="1" w:styleId="ListLabel84">
    <w:name w:val="ListLabel 84"/>
    <w:qFormat/>
    <w:rPr>
      <w:rFonts w:ascii="Arial" w:hAnsi="Arial" w:cs="Symbol"/>
      <w:sz w:val="18"/>
    </w:rPr>
  </w:style>
  <w:style w:type="character" w:customStyle="1" w:styleId="ListLabel85">
    <w:name w:val="ListLabel 85"/>
    <w:qFormat/>
    <w:rPr>
      <w:rFonts w:ascii="Arial" w:hAnsi="Arial" w:cs="Courier New"/>
      <w:sz w:val="18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2258C"/>
    <w:pPr>
      <w:widowControl w:val="0"/>
      <w:suppressAutoHyphens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spacing w:after="15"/>
      <w:ind w:left="720" w:right="38" w:hanging="5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0">
    <w:name w:val="WW8Num20"/>
    <w:qFormat/>
    <w:rsid w:val="00E2258C"/>
  </w:style>
  <w:style w:type="numbering" w:customStyle="1" w:styleId="WW8Num18">
    <w:name w:val="WW8Num18"/>
    <w:qFormat/>
    <w:rsid w:val="00E2258C"/>
  </w:style>
  <w:style w:type="paragraph" w:styleId="Stopka">
    <w:name w:val="footer"/>
    <w:basedOn w:val="Normalny"/>
    <w:link w:val="StopkaZnak"/>
    <w:uiPriority w:val="99"/>
    <w:unhideWhenUsed/>
    <w:rsid w:val="006C2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2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6C22A4"/>
    <w:pPr>
      <w:widowControl w:val="0"/>
      <w:adjustRightInd w:val="0"/>
      <w:spacing w:line="360" w:lineRule="atLeast"/>
      <w:jc w:val="center"/>
      <w:textAlignment w:val="baseline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C22A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15</Pages>
  <Words>4774</Words>
  <Characters>28644</Characters>
  <Application>Microsoft Office Word</Application>
  <DocSecurity>0</DocSecurity>
  <Lines>238</Lines>
  <Paragraphs>66</Paragraphs>
  <ScaleCrop>false</ScaleCrop>
  <Company>Microsoft</Company>
  <LinksUpToDate>false</LinksUpToDate>
  <CharactersWithSpaces>33352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Kancelaria Adwokatów i Radców Prawnych P.J. Sowisło</cp:lastModifiedBy>
  <cp:revision>119</cp:revision>
  <dcterms:created xsi:type="dcterms:W3CDTF">2017-08-11T10:10:00Z</dcterms:created>
  <dcterms:modified xsi:type="dcterms:W3CDTF">2020-02-24T14:37:00Z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